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070/2023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roçagem  e limpeza de entulhos da área do bairro Sol Nascente, região sul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serviços de roçagem  e limpeza de entulhos da área do bairro Sol Nascente, região sul de Palmas.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Caros nobres, a presente solicitação partiu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moradores do bairro, que mencionam que o bairro necessita destes serviços em regime de urgência.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A falta de roçagem e limpeza traz muitos perigos aos moradores; acarreta o acúmulo de lixo, esconderijo de malfeitores, também em decorrência do período de chuva favorece o aparecimento de insetos peçonhentos, ocorrendo propagação do mosquito da dengue (aedes aegypti), causando também riscos à saúde dos moradores.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1962150</wp:posOffset>
            </wp:positionH>
            <wp:positionV relativeFrom="paragraph">
              <wp:posOffset>457200</wp:posOffset>
            </wp:positionV>
            <wp:extent cx="1585913" cy="778346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07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Junho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