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091/2023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requerer, à Secretaria de Infraestrutura e Serviços Públicos, muito respeitosamente, </w:t>
      </w:r>
      <w:r w:rsidDel="00000000" w:rsidR="00000000" w:rsidRPr="00000000">
        <w:rPr>
          <w:b w:val="1"/>
          <w:rtl w:val="0"/>
        </w:rPr>
        <w:t xml:space="preserve">Solicitar a  construção de Praça Pública com equipamentos de academia ao ar livre e espaço infantil, no Bairro Palmas Sul,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vem respeitosamente, solicitar por meio deste, que através do órgão competente, </w:t>
      </w:r>
      <w:r w:rsidDel="00000000" w:rsidR="00000000" w:rsidRPr="00000000">
        <w:rPr>
          <w:b w:val="1"/>
          <w:rtl w:val="0"/>
        </w:rPr>
        <w:t xml:space="preserve">solicitar a construção de Praça Pública com equipamentos de academia ao ar livre e espaço infantil, no Bairro Palmas Sul, Região Sul de Palmas.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Considerando</w:t>
      </w:r>
      <w:r w:rsidDel="00000000" w:rsidR="00000000" w:rsidRPr="00000000">
        <w:rPr>
          <w:sz w:val="20"/>
          <w:szCs w:val="20"/>
          <w:rtl w:val="0"/>
        </w:rPr>
        <w:t xml:space="preserve"> que se faz necessária para proporcionar uma área de lazer para os moradores locais.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Considerando</w:t>
      </w:r>
      <w:r w:rsidDel="00000000" w:rsidR="00000000" w:rsidRPr="00000000">
        <w:rPr>
          <w:sz w:val="20"/>
          <w:szCs w:val="20"/>
          <w:rtl w:val="0"/>
        </w:rPr>
        <w:t xml:space="preserve"> que a construção agrega valor paisagístico e urbanístico para a comunidade, bem como faz com que os moradores tenham sua autoestima elevada.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Considerando</w:t>
      </w:r>
      <w:r w:rsidDel="00000000" w:rsidR="00000000" w:rsidRPr="00000000">
        <w:rPr>
          <w:sz w:val="20"/>
          <w:szCs w:val="20"/>
          <w:rtl w:val="0"/>
        </w:rPr>
        <w:t xml:space="preserve"> ainda que, a construção dessa praça pública trará significativa qualidade de vida aos inúmeros residentes do referido bairro, que vem desde a implantação do bairro almejando esse benefício.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Nesse sentido, REQUEREMOS,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Secretaria de Infraestrutura e Serviços Públicos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que promova esforço para construção da praça pública neste bairro.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04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Agosto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228600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t2c13x1r52y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8ayboo867br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cjryzohew84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73jqeivqcwl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61ljlu8g3x1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