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012/2023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a adoção de medidas para que seja executada obras de tapa buracos e sinalização nas áreas de estacionamentos comerciais e industriais das quadras 712 Sul, 812 Sul, 912 Sul, 1012 Sul e 112 Sul, Plano Diretor Sul.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vem respeitosamente REQUERER, junto à Secretaria Municipal de Infraestrutura e Serviços Público, por meio do setor responsável, que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providencie a adoção de medidas para que seja executada obras de tapa buracos e sinalização nas áreas de estacionamentos comerciais e industriais das quadras 712 Sul, 812 Sul, 912 Sul, 1012 Sul e 112 Sul, Plano Diretor Sul.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Caros nobres, a presente solicitação para melhorias das áreas de estacionamento em praças comerciais e industriais, partiu de empresários que a muito tempo reclamam das condições precárias destes espaços, e necessitam de melhorias estruturais, com ações de tapa-buracos e revitalização da sinalização.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estacionamentos são essenciais para que condutores possam estacionar seus veículos, de forma correta, zelando pelo bem comum da cidade e em locais apropriados, para isso é preciso que esteja em condições adequadas.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E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Palmas, 28 de Fevereiro de 2023.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2181225</wp:posOffset>
            </wp:positionH>
            <wp:positionV relativeFrom="paragraph">
              <wp:posOffset>161925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</w:rPr>
      </w:pPr>
      <w:bookmarkStart w:colFirst="0" w:colLast="0" w:name="_gmx2pov19au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b w:val="1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Vereador de Palmas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