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011/2023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instalação de guarda-corpos de proteção na ponte  sobre o córrego Sussuapara.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a instalação de guarda-corpos de proteção na ponte  sobre o córrego Sussuapara, localizada na AV. NS 03 próximo a Quadra 303 Norte.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Caros nobres, a presente solicitação partiu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moradores que utilizam do espaço para seu deslocamento diário. O guarda-corpo, deve ser instalado em locais de acesso livre a pessoas e tem o propósito de salvaguardar o corpo e evitar acidentes.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Secretaria  de Segurança e Mobilidade Urbana,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1876425</wp:posOffset>
            </wp:positionH>
            <wp:positionV relativeFrom="paragraph">
              <wp:posOffset>172464</wp:posOffset>
            </wp:positionV>
            <wp:extent cx="1585913" cy="778346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06 de Março </w:t>
      </w:r>
      <w:r w:rsidDel="00000000" w:rsidR="00000000" w:rsidRPr="00000000">
        <w:rPr>
          <w:color w:val="000000"/>
          <w:rtl w:val="0"/>
        </w:rPr>
        <w:t xml:space="preserve">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