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62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providencie serviços de tapa buracos </w:t>
      </w:r>
      <w:r w:rsidDel="00000000" w:rsidR="00000000" w:rsidRPr="00000000">
        <w:rPr>
          <w:b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setor </w:t>
      </w:r>
      <w:r w:rsidDel="00000000" w:rsidR="00000000" w:rsidRPr="00000000">
        <w:rPr>
          <w:b w:val="1"/>
          <w:sz w:val="24"/>
          <w:szCs w:val="24"/>
          <w:rtl w:val="0"/>
        </w:rPr>
        <w:t xml:space="preserve">Aureny 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entre 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ruas Prof Ribamar e Rua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Grosso,região sul de Palmas.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serviços de tapa buracos no setor Aureny II, entre as ruas Prof Ribamar e Rua Mato Grosso,região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 nobres, a presente solicitação partiu de moradores que residem no bairro, e procuraram o nobre vereador para que pudesse solicitar junto ao poder público manutenção das ruas e avenidas do referido bairro.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Pois devido ao tempo chuvoso ocasionar muitos buracos e por a maioria das ruas ainda não estar devidamente asfaltadas, necessitam dessa manutenção preventiva para um melhor deslocamento dos moradores.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REQUEREMOS,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Infraestrutura e Serviços Públicos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