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60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muito respeitosamente,</w:t>
      </w:r>
      <w:r w:rsidDel="00000000" w:rsidR="00000000" w:rsidRPr="00000000">
        <w:rPr>
          <w:sz w:val="24"/>
          <w:szCs w:val="24"/>
          <w:rtl w:val="0"/>
        </w:rPr>
        <w:t xml:space="preserve">que providencie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encascalhamento e patrolamento na Rua 48 Qd 54 no Jardim Aureny  III,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Região sul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Palmas.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providencie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encascalhamento e patrolamento na Rua 48 Qd 54 no Jardim Aureny  III, Região sul de  Palmas.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Atendendo a uma reivindicação da comunidade que solicita o patrolamento, encascalhamento e o nivelamento do local, esperamos contar com especial atenção na realização desse serviço, visto que o mesmo proporcionará maior condição de trafegabilidade dos veículos e das pessoas que transitam por essa localidade diariamente, bem como, possibilitar qualidade de vida aos moradores da região.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Nesse sentido, REQUEREMOS,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de Infraestrutura e Serviços Públicos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-109852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